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bookmarkEnd w:id="1"/>
      <w:r w:rsidR="00D0023C" w:rsidRPr="00D0023C">
        <w:rPr>
          <w:rFonts w:ascii="Times New Roman" w:hAnsi="Times New Roman"/>
          <w:sz w:val="27"/>
          <w:szCs w:val="27"/>
          <w:u w:val="single"/>
        </w:rPr>
        <w:t xml:space="preserve"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района» </w:t>
      </w:r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НПА 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D0023C" w:rsidRPr="00D0023C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="004141B7">
        <w:rPr>
          <w:rFonts w:ascii="Times New Roman" w:hAnsi="Times New Roman"/>
          <w:color w:val="000000"/>
          <w:sz w:val="27"/>
          <w:szCs w:val="27"/>
          <w:u w:val="single"/>
        </w:rPr>
        <w:t>28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4141B7">
        <w:rPr>
          <w:rFonts w:ascii="Times New Roman" w:hAnsi="Times New Roman"/>
          <w:color w:val="000000"/>
          <w:sz w:val="27"/>
          <w:szCs w:val="27"/>
          <w:u w:val="single"/>
        </w:rPr>
        <w:t>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 w:rsidR="004141B7">
        <w:rPr>
          <w:rFonts w:ascii="Times New Roman" w:hAnsi="Times New Roman"/>
          <w:color w:val="000000"/>
          <w:sz w:val="27"/>
          <w:szCs w:val="27"/>
          <w:u w:val="single"/>
        </w:rPr>
        <w:t>11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 w:rsidR="004141B7">
        <w:rPr>
          <w:rFonts w:ascii="Times New Roman" w:hAnsi="Times New Roman"/>
          <w:color w:val="000000"/>
          <w:sz w:val="27"/>
          <w:szCs w:val="27"/>
          <w:u w:val="single"/>
        </w:rPr>
        <w:t>7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», ИП Глава КФХ Кочергин Ю.П., АНО «Россошанский центр поддержки предпринимательства и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707D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предложений и замечаний не поступило.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677834" w:rsidRPr="00EA312E" w:rsidRDefault="00677834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677834" w:rsidRPr="00677834" w:rsidRDefault="00677834" w:rsidP="0067783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F246F6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условия и порядок предоставления </w:t>
      </w:r>
      <w:r w:rsidR="007D282D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7D282D">
        <w:rPr>
          <w:rFonts w:ascii="Times New Roman" w:hAnsi="Times New Roman" w:cs="Times New Roman"/>
          <w:sz w:val="26"/>
          <w:szCs w:val="26"/>
        </w:rPr>
        <w:t>субсиди</w:t>
      </w:r>
      <w:r w:rsidR="00EB791F">
        <w:rPr>
          <w:rFonts w:ascii="Times New Roman" w:hAnsi="Times New Roman" w:cs="Times New Roman"/>
          <w:sz w:val="26"/>
          <w:szCs w:val="26"/>
        </w:rPr>
        <w:t>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EB791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677834" w:rsidRPr="00301898" w:rsidRDefault="00677834" w:rsidP="00677834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EB791F">
        <w:rPr>
          <w:rFonts w:ascii="Times New Roman" w:hAnsi="Times New Roman" w:cs="Times New Roman"/>
          <w:sz w:val="26"/>
          <w:szCs w:val="26"/>
        </w:rPr>
        <w:t>2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EB791F" w:rsidRPr="00EB791F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EB791F">
        <w:rPr>
          <w:rFonts w:ascii="Times New Roman" w:hAnsi="Times New Roman" w:cs="Times New Roman"/>
          <w:sz w:val="26"/>
          <w:szCs w:val="26"/>
        </w:rPr>
        <w:t xml:space="preserve">»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83452" w:rsidRPr="004141B7" w:rsidRDefault="00F364C8" w:rsidP="004141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677834" w:rsidRDefault="00F364C8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связанных с уплатой первого взноса (аванса) по договорам лизинга оборудования (кроме договоров </w:t>
      </w:r>
      <w:proofErr w:type="spellStart"/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сублизинга</w:t>
      </w:r>
      <w:proofErr w:type="spellEnd"/>
      <w:r w:rsidR="00EB791F" w:rsidRPr="00EB791F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="006F2CD2">
        <w:rPr>
          <w:rFonts w:ascii="Times New Roman" w:hAnsi="Times New Roman" w:cs="Times New Roman"/>
          <w:sz w:val="28"/>
          <w:szCs w:val="28"/>
        </w:rPr>
        <w:t>У</w:t>
      </w:r>
      <w:r w:rsidR="006F2CD2" w:rsidRPr="00B24011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EB791F" w:rsidRPr="00E62E0F">
        <w:rPr>
          <w:rFonts w:ascii="Times New Roman" w:hAnsi="Times New Roman" w:cs="Times New Roman"/>
          <w:sz w:val="28"/>
          <w:szCs w:val="28"/>
        </w:rPr>
        <w:t xml:space="preserve">отбора фактически понесли затраты на </w:t>
      </w:r>
      <w:r w:rsidR="00EB791F">
        <w:rPr>
          <w:rFonts w:ascii="Times New Roman" w:hAnsi="Times New Roman" w:cs="Times New Roman"/>
          <w:sz w:val="28"/>
          <w:szCs w:val="28"/>
        </w:rPr>
        <w:t>уплату первого взноса (аванса) по договору лизинга</w:t>
      </w:r>
      <w:r w:rsidR="00677834">
        <w:rPr>
          <w:rFonts w:ascii="Times New Roman" w:hAnsi="Times New Roman" w:cs="Times New Roman"/>
          <w:sz w:val="28"/>
          <w:szCs w:val="28"/>
        </w:rPr>
        <w:t xml:space="preserve">. </w:t>
      </w:r>
      <w:r w:rsidR="00677834" w:rsidRPr="00677834">
        <w:rPr>
          <w:rFonts w:ascii="Times New Roman" w:hAnsi="Times New Roman" w:cs="Times New Roman"/>
          <w:sz w:val="28"/>
          <w:szCs w:val="28"/>
        </w:rPr>
        <w:t>договор лизинга оборудования заключен с лизинговой организацией в текущем году или году, предшествующем году подачи заявки о предоставлении субсидии</w:t>
      </w:r>
      <w:r w:rsidR="006778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834" w:rsidRDefault="00677834" w:rsidP="00677834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3452" w:rsidRPr="004141B7" w:rsidRDefault="00A040B7" w:rsidP="004141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8345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4141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bookmarkStart w:id="3" w:name="_GoBack"/>
      <w:bookmarkEnd w:id="3"/>
      <w:r w:rsidR="00A040B7"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 w:rsid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483452" w:rsidRDefault="00483452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r w:rsidR="00677834" w:rsidRP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776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3452" w:rsidRPr="00204E1E" w:rsidRDefault="000A541A" w:rsidP="00204E1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обеспечить: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предоставление субсидий </w:t>
      </w:r>
      <w:r w:rsidR="00677834" w:rsidRPr="0067783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 бюджетных средств;</w:t>
      </w:r>
    </w:p>
    <w:p w:rsidR="00C84578" w:rsidRDefault="00956723" w:rsidP="00204E1E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204E1E" w:rsidRDefault="00204E1E" w:rsidP="00204E1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Негативные последствия принятия проекта НПА регулирующим органом не спрогнозированы.</w:t>
      </w:r>
    </w:p>
    <w:p w:rsidR="00204E1E" w:rsidRPr="00204E1E" w:rsidRDefault="00204E1E" w:rsidP="00204E1E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83452" w:rsidRPr="007F60E9" w:rsidRDefault="004145CE" w:rsidP="007F60E9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C8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</w:t>
      </w: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8D0A21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7212798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7F60E9" w:rsidRDefault="007F60E9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-содержание проекта отвечает целям предполагаемого правового регулирования;</w:t>
      </w:r>
    </w:p>
    <w:p w:rsidR="007F60E9" w:rsidRDefault="007F60E9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неблагоприятных последствий применение предлагаемого правового регулирования не прогнозируется;</w:t>
      </w:r>
    </w:p>
    <w:p w:rsidR="007F60E9" w:rsidRDefault="007F60E9" w:rsidP="007F60E9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риски неблагоприятных последствий применение правового регулирования отсутствуют;</w:t>
      </w:r>
    </w:p>
    <w:p w:rsidR="007F60E9" w:rsidRPr="007F60E9" w:rsidRDefault="007F60E9" w:rsidP="007F60E9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Pr="007F60E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 w:rsidRPr="007F60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содержит положений, вводящих новые обязанности, запреты и ограничения для субъектов предпринимательской и иной экономической деятельности или способствующие их введению, а также положений, приводящих к возникновению необоснованных расходов субъектов предпринимательской и инвестиционной  деятельности, а также  бюджета Россошанского муниципального района.</w:t>
      </w:r>
    </w:p>
    <w:p w:rsidR="007F60E9" w:rsidRDefault="007F60E9" w:rsidP="007F60E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5" w:name="_Hlk111045253"/>
      <w:bookmarkStart w:id="6" w:name="_Hlk111045181"/>
      <w:bookmarkEnd w:id="2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полномоченный орган согласен с необходимостью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и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в соответствие с требованиями действующего законодательства</w:t>
      </w:r>
      <w:r w:rsidR="0098707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актуализирующего </w:t>
      </w:r>
      <w:r w:rsidR="00483452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483452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орядок</w:t>
      </w:r>
      <w:r w:rsidR="00483452" w:rsidRPr="00BC3EE3">
        <w:rPr>
          <w:rFonts w:ascii="Times New Roman" w:hAnsi="Times New Roman"/>
          <w:sz w:val="27"/>
          <w:szCs w:val="27"/>
        </w:rPr>
        <w:t xml:space="preserve"> </w:t>
      </w:r>
      <w:r w:rsidR="00483452" w:rsidRPr="00D0023C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bookmarkEnd w:id="4"/>
    <w:p w:rsidR="00DE6F66" w:rsidRPr="00EB292B" w:rsidRDefault="00DE6F66" w:rsidP="00EB292B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B29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7" w:name="_Hlk172128076"/>
      <w:bookmarkEnd w:id="5"/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bookmarkEnd w:id="6"/>
    <w:bookmarkEnd w:id="7"/>
    <w:p w:rsidR="00905A5F" w:rsidRDefault="00905A5F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483452" w:rsidRPr="007F60E9" w:rsidRDefault="00DE6F66" w:rsidP="007F60E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483452" w:rsidRDefault="00483452" w:rsidP="00DE6F66"/>
    <w:p w:rsidR="00483452" w:rsidRDefault="00483452" w:rsidP="00DE6F66"/>
    <w:p w:rsidR="00483452" w:rsidRDefault="00483452" w:rsidP="00DE6F66"/>
    <w:p w:rsidR="00DE6F66" w:rsidRPr="00DE6F66" w:rsidRDefault="00DE6F66" w:rsidP="00DE6F66"/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p w:rsidR="00DE6F66" w:rsidRPr="00DE6F66" w:rsidRDefault="00DE6F66" w:rsidP="00DE6F66"/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04E1E"/>
    <w:rsid w:val="002303EA"/>
    <w:rsid w:val="00241E57"/>
    <w:rsid w:val="002451BD"/>
    <w:rsid w:val="0027391A"/>
    <w:rsid w:val="002813FC"/>
    <w:rsid w:val="00281C8F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1B7"/>
    <w:rsid w:val="004145CE"/>
    <w:rsid w:val="00417A6F"/>
    <w:rsid w:val="00443BA0"/>
    <w:rsid w:val="004629AA"/>
    <w:rsid w:val="00483452"/>
    <w:rsid w:val="00496B63"/>
    <w:rsid w:val="004D4524"/>
    <w:rsid w:val="004F483A"/>
    <w:rsid w:val="0054271D"/>
    <w:rsid w:val="00583356"/>
    <w:rsid w:val="005906AB"/>
    <w:rsid w:val="005A5100"/>
    <w:rsid w:val="005B6796"/>
    <w:rsid w:val="005D2E98"/>
    <w:rsid w:val="005E7F8F"/>
    <w:rsid w:val="0060431D"/>
    <w:rsid w:val="00677834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7D282D"/>
    <w:rsid w:val="007F60E9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8707D"/>
    <w:rsid w:val="009A08F5"/>
    <w:rsid w:val="009C4D8B"/>
    <w:rsid w:val="009E7B15"/>
    <w:rsid w:val="009F7958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0023C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B292B"/>
    <w:rsid w:val="00EB791F"/>
    <w:rsid w:val="00EC4601"/>
    <w:rsid w:val="00F004E4"/>
    <w:rsid w:val="00F246F6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79CB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34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5768</TotalTime>
  <Pages>1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Ткаченко Вера Владимировна</cp:lastModifiedBy>
  <cp:revision>35</cp:revision>
  <cp:lastPrinted>2024-05-16T05:15:00Z</cp:lastPrinted>
  <dcterms:created xsi:type="dcterms:W3CDTF">2021-06-10T06:15:00Z</dcterms:created>
  <dcterms:modified xsi:type="dcterms:W3CDTF">2024-07-18T12:05:00Z</dcterms:modified>
</cp:coreProperties>
</file>